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306"/>
      </w:tblGrid>
      <w:tr w:rsidR="00D93C10" w:rsidRPr="00D93C10" w:rsidTr="00D93C10">
        <w:trPr>
          <w:tblCellSpacing w:w="0" w:type="dxa"/>
        </w:trPr>
        <w:tc>
          <w:tcPr>
            <w:tcW w:w="0" w:type="auto"/>
            <w:shd w:val="clear" w:color="auto" w:fill="FFFFFF"/>
            <w:vAlign w:val="center"/>
            <w:hideMark/>
          </w:tcPr>
          <w:p w:rsidR="00D93C10" w:rsidRDefault="00D93C10" w:rsidP="00C702B4">
            <w:pPr>
              <w:widowControl/>
              <w:jc w:val="center"/>
              <w:rPr>
                <w:rFonts w:ascii="宋体" w:hAnsi="宋体" w:cs="宋体"/>
                <w:b/>
                <w:bCs/>
                <w:kern w:val="0"/>
                <w:sz w:val="24"/>
              </w:rPr>
            </w:pPr>
            <w:r w:rsidRPr="00D93C10">
              <w:rPr>
                <w:rFonts w:ascii="宋体" w:hAnsi="宋体" w:cs="宋体" w:hint="eastAsia"/>
                <w:b/>
                <w:bCs/>
                <w:kern w:val="0"/>
                <w:sz w:val="24"/>
              </w:rPr>
              <w:t>财政部 国家自然科学基金委员会关于国家自然科学基金资助项目资金管理有关问题的补充通知</w:t>
            </w:r>
          </w:p>
          <w:p w:rsidR="00D93C10" w:rsidRPr="00D93C10" w:rsidRDefault="00D93C10" w:rsidP="00D93C10">
            <w:pPr>
              <w:widowControl/>
              <w:jc w:val="center"/>
              <w:rPr>
                <w:rFonts w:ascii="宋体" w:hAnsi="宋体" w:cs="宋体"/>
                <w:bCs/>
                <w:kern w:val="0"/>
                <w:sz w:val="24"/>
              </w:rPr>
            </w:pPr>
            <w:r w:rsidRPr="00D93C10">
              <w:rPr>
                <w:rFonts w:ascii="宋体" w:hAnsi="宋体" w:cs="宋体" w:hint="eastAsia"/>
                <w:bCs/>
                <w:kern w:val="0"/>
                <w:sz w:val="24"/>
              </w:rPr>
              <w:t>财科教〔2016〕19号</w:t>
            </w:r>
          </w:p>
        </w:tc>
      </w:tr>
      <w:tr w:rsidR="00D93C10" w:rsidRPr="00D93C10" w:rsidTr="00D93C10">
        <w:trPr>
          <w:trHeight w:val="450"/>
          <w:tblCellSpacing w:w="0" w:type="dxa"/>
        </w:trPr>
        <w:tc>
          <w:tcPr>
            <w:tcW w:w="0" w:type="auto"/>
            <w:shd w:val="clear" w:color="auto" w:fill="FFFFFF"/>
            <w:vAlign w:val="center"/>
            <w:hideMark/>
          </w:tcPr>
          <w:p w:rsidR="00D93C10" w:rsidRPr="00D93C10" w:rsidRDefault="00D93C10" w:rsidP="00D93C10">
            <w:pPr>
              <w:widowControl/>
              <w:jc w:val="center"/>
              <w:rPr>
                <w:rFonts w:ascii="宋体" w:hAnsi="宋体" w:cs="宋体"/>
                <w:kern w:val="0"/>
                <w:sz w:val="18"/>
                <w:szCs w:val="18"/>
              </w:rPr>
            </w:pPr>
            <w:r w:rsidRPr="00D93C10">
              <w:rPr>
                <w:rFonts w:ascii="宋体" w:hAnsi="宋体" w:cs="宋体" w:hint="eastAsia"/>
                <w:kern w:val="0"/>
                <w:sz w:val="18"/>
              </w:rPr>
              <w:t> </w:t>
            </w:r>
          </w:p>
        </w:tc>
      </w:tr>
      <w:tr w:rsidR="00D93C10" w:rsidRPr="00D93C10" w:rsidTr="00D93C10">
        <w:trPr>
          <w:tblCellSpacing w:w="0" w:type="dxa"/>
        </w:trPr>
        <w:tc>
          <w:tcPr>
            <w:tcW w:w="0" w:type="auto"/>
            <w:shd w:val="clear" w:color="auto" w:fill="FFFFFF"/>
            <w:vAlign w:val="center"/>
            <w:hideMark/>
          </w:tcPr>
          <w:p w:rsidR="00D93C10" w:rsidRPr="00D93C10" w:rsidRDefault="00D93C10" w:rsidP="00D93C10">
            <w:pPr>
              <w:widowControl/>
              <w:jc w:val="right"/>
              <w:rPr>
                <w:rFonts w:ascii="宋体" w:hAnsi="宋体" w:cs="宋体"/>
                <w:kern w:val="0"/>
                <w:sz w:val="18"/>
                <w:szCs w:val="18"/>
              </w:rPr>
            </w:pPr>
          </w:p>
        </w:tc>
      </w:tr>
      <w:tr w:rsidR="00D93C10" w:rsidRPr="00D93C10" w:rsidTr="00D93C10">
        <w:trPr>
          <w:tblCellSpacing w:w="0" w:type="dxa"/>
        </w:trPr>
        <w:tc>
          <w:tcPr>
            <w:tcW w:w="0" w:type="auto"/>
            <w:shd w:val="clear" w:color="auto" w:fill="FFFFFF"/>
            <w:vAlign w:val="center"/>
            <w:hideMark/>
          </w:tcPr>
          <w:p w:rsidR="00D93C10" w:rsidRPr="00D93C10" w:rsidRDefault="00D93C10" w:rsidP="00D93C10">
            <w:pPr>
              <w:widowControl/>
              <w:spacing w:before="100" w:beforeAutospacing="1" w:after="100" w:afterAutospacing="1" w:line="245" w:lineRule="atLeast"/>
              <w:jc w:val="left"/>
              <w:rPr>
                <w:rFonts w:ascii="宋体" w:hAnsi="宋体" w:cs="宋体"/>
                <w:kern w:val="0"/>
                <w:sz w:val="18"/>
                <w:szCs w:val="18"/>
              </w:rPr>
            </w:pPr>
            <w:r w:rsidRPr="00D93C10">
              <w:rPr>
                <w:rFonts w:ascii="宋体" w:hAnsi="宋体" w:cs="宋体" w:hint="eastAsia"/>
                <w:kern w:val="0"/>
                <w:sz w:val="18"/>
                <w:szCs w:val="18"/>
              </w:rPr>
              <w:t>有关单位：</w:t>
            </w:r>
          </w:p>
          <w:p w:rsidR="00D93C10" w:rsidRPr="00D93C10" w:rsidRDefault="00D93C10" w:rsidP="00D93C10">
            <w:pPr>
              <w:widowControl/>
              <w:spacing w:before="100" w:beforeAutospacing="1" w:after="100" w:afterAutospacing="1" w:line="245" w:lineRule="atLeast"/>
              <w:jc w:val="left"/>
              <w:rPr>
                <w:rFonts w:ascii="宋体" w:hAnsi="宋体" w:cs="宋体"/>
                <w:kern w:val="0"/>
                <w:sz w:val="18"/>
                <w:szCs w:val="18"/>
              </w:rPr>
            </w:pPr>
            <w:r w:rsidRPr="00D93C10">
              <w:rPr>
                <w:rFonts w:ascii="宋体" w:hAnsi="宋体" w:cs="宋体" w:hint="eastAsia"/>
                <w:kern w:val="0"/>
                <w:sz w:val="18"/>
                <w:szCs w:val="18"/>
              </w:rPr>
              <w:t>    为了贯彻落实《中共中央办公厅 国务院办公厅印发&lt;关于进一步完善中央财政科研项目资金管理等政策的若干意见&gt;的通知》精神，现就《国家自然科学基金资助项目资金管理办法》（财教﹝2015﹞15号）有关问题补充通知如下：</w:t>
            </w:r>
          </w:p>
          <w:p w:rsidR="00D93C10" w:rsidRPr="00D93C10" w:rsidRDefault="00D93C10" w:rsidP="00D93C10">
            <w:pPr>
              <w:widowControl/>
              <w:spacing w:before="100" w:beforeAutospacing="1" w:after="100" w:afterAutospacing="1" w:line="245" w:lineRule="atLeast"/>
              <w:jc w:val="left"/>
              <w:rPr>
                <w:rFonts w:ascii="宋体" w:hAnsi="宋体" w:cs="宋体"/>
                <w:kern w:val="0"/>
                <w:sz w:val="18"/>
                <w:szCs w:val="18"/>
              </w:rPr>
            </w:pPr>
            <w:r w:rsidRPr="00D93C10">
              <w:rPr>
                <w:rFonts w:ascii="宋体" w:hAnsi="宋体" w:cs="宋体" w:hint="eastAsia"/>
                <w:kern w:val="0"/>
                <w:sz w:val="18"/>
                <w:szCs w:val="18"/>
              </w:rPr>
              <w:t>    一、合并差旅费、会议费、国际合作与交流费三个科目为差旅/会议/国际合作与交流费一个科目，由科研人员结合科研活动实际需要编制预算并按规定统筹安排使用，其中不超过直接费用10%的，不需要提供预算测算依据。</w:t>
            </w:r>
          </w:p>
          <w:p w:rsidR="00D93C10" w:rsidRPr="00E81353" w:rsidRDefault="00D93C10" w:rsidP="00D93C10">
            <w:pPr>
              <w:widowControl/>
              <w:spacing w:before="100" w:beforeAutospacing="1" w:after="100" w:afterAutospacing="1" w:line="245" w:lineRule="atLeast"/>
              <w:jc w:val="left"/>
              <w:rPr>
                <w:rFonts w:ascii="宋体" w:hAnsi="宋体" w:cs="宋体"/>
                <w:kern w:val="0"/>
                <w:sz w:val="18"/>
                <w:szCs w:val="18"/>
              </w:rPr>
            </w:pPr>
            <w:r w:rsidRPr="00D93C10">
              <w:rPr>
                <w:rFonts w:ascii="宋体" w:hAnsi="宋体" w:cs="宋体" w:hint="eastAsia"/>
                <w:kern w:val="0"/>
                <w:sz w:val="18"/>
                <w:szCs w:val="18"/>
              </w:rPr>
              <w:t xml:space="preserve">    </w:t>
            </w:r>
            <w:r w:rsidRPr="00E81353">
              <w:rPr>
                <w:rFonts w:ascii="宋体" w:hAnsi="宋体" w:cs="宋体" w:hint="eastAsia"/>
                <w:kern w:val="0"/>
                <w:sz w:val="18"/>
                <w:szCs w:val="18"/>
              </w:rPr>
              <w:t>二、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w:t>
            </w:r>
          </w:p>
          <w:p w:rsidR="00D93C10" w:rsidRPr="00E81353" w:rsidRDefault="00D93C10" w:rsidP="00D93C10">
            <w:pPr>
              <w:widowControl/>
              <w:spacing w:before="100" w:beforeAutospacing="1" w:after="100" w:afterAutospacing="1" w:line="245" w:lineRule="atLeast"/>
              <w:jc w:val="left"/>
              <w:rPr>
                <w:rFonts w:ascii="宋体" w:hAnsi="宋体" w:cs="宋体"/>
                <w:kern w:val="0"/>
                <w:sz w:val="18"/>
                <w:szCs w:val="18"/>
              </w:rPr>
            </w:pPr>
            <w:r w:rsidRPr="00E81353">
              <w:rPr>
                <w:rFonts w:ascii="宋体" w:hAnsi="宋体" w:cs="宋体" w:hint="eastAsia"/>
                <w:kern w:val="0"/>
                <w:sz w:val="18"/>
                <w:szCs w:val="18"/>
              </w:rPr>
              <w:t>    三、间接费用核定比例上限调整为：500万元以下的部分为20%，500万元至1000万元的部分为15%，1000万元以上的部分为13%。加大对科研人员的激励力度，取消绩效支出比例限制。依托单位在统筹安排间接费用时，要处理好合理分摊间接成本和对科研人员激励的关系，绩效支出安排与科研人员在项目工作中的实际贡献挂钩。</w:t>
            </w:r>
          </w:p>
          <w:p w:rsidR="00D93C10" w:rsidRPr="00D93C10" w:rsidRDefault="00D93C10" w:rsidP="00D93C10">
            <w:pPr>
              <w:widowControl/>
              <w:spacing w:before="100" w:beforeAutospacing="1" w:after="100" w:afterAutospacing="1" w:line="245" w:lineRule="atLeast"/>
              <w:jc w:val="left"/>
              <w:rPr>
                <w:rFonts w:ascii="宋体" w:hAnsi="宋体" w:cs="宋体"/>
                <w:kern w:val="0"/>
                <w:sz w:val="18"/>
                <w:szCs w:val="18"/>
              </w:rPr>
            </w:pPr>
            <w:r w:rsidRPr="00E81353">
              <w:rPr>
                <w:rFonts w:ascii="宋体" w:hAnsi="宋体" w:cs="宋体" w:hint="eastAsia"/>
                <w:kern w:val="0"/>
                <w:sz w:val="18"/>
                <w:szCs w:val="18"/>
              </w:rPr>
              <w:t>    四、依托单位要创新服务方式，让科研人员潜心从事科学研究。要建立健全科研财务助理制度，为科研人员在项目预算编制和调剂、经费支出、财务决算和验收等方面提供专业化服务。要充分利用信息化手段，建立健全单位内部科研、财务部门和项目负责人共享的信息平台，提高科研管理效率和便利化程度。要制定符合科研实际需要的内部报销规定，切实解决野外考察、心理测试等科研活动中无法取得发票或财政性票据，以及邀请外国专家来华参加学术交流发生费用等的报销问题。</w:t>
            </w:r>
          </w:p>
          <w:p w:rsidR="00D93C10" w:rsidRPr="00D93C10" w:rsidRDefault="00D93C10" w:rsidP="00D93C10">
            <w:pPr>
              <w:widowControl/>
              <w:spacing w:before="100" w:beforeAutospacing="1" w:after="100" w:afterAutospacing="1" w:line="245" w:lineRule="atLeast"/>
              <w:jc w:val="left"/>
              <w:rPr>
                <w:rFonts w:ascii="宋体" w:hAnsi="宋体" w:cs="宋体"/>
                <w:kern w:val="0"/>
                <w:sz w:val="18"/>
                <w:szCs w:val="18"/>
              </w:rPr>
            </w:pPr>
            <w:r w:rsidRPr="00D93C10">
              <w:rPr>
                <w:rFonts w:ascii="宋体" w:hAnsi="宋体" w:cs="宋体" w:hint="eastAsia"/>
                <w:kern w:val="0"/>
                <w:sz w:val="18"/>
                <w:szCs w:val="18"/>
              </w:rPr>
              <w:t>    五、依托单位要切实强化法人责任，规范项目资金管理。要制定内部管理办法，落实项目预算调剂、间接费用统筹使用、劳务费分配管理、结余资金使用等管理权限。要加强预算审核把关，规范财务支出行为，完善内部风险防控机制，强化资金使用绩效评价，保障资金使用安全规范有效。</w:t>
            </w:r>
          </w:p>
          <w:p w:rsidR="00D93C10" w:rsidRPr="00D93C10" w:rsidRDefault="00D93C10" w:rsidP="00D93C10">
            <w:pPr>
              <w:widowControl/>
              <w:spacing w:before="100" w:beforeAutospacing="1" w:after="100" w:afterAutospacing="1" w:line="245" w:lineRule="atLeast"/>
              <w:jc w:val="left"/>
              <w:rPr>
                <w:rFonts w:ascii="宋体" w:hAnsi="宋体" w:cs="宋体"/>
                <w:kern w:val="0"/>
                <w:sz w:val="18"/>
                <w:szCs w:val="18"/>
              </w:rPr>
            </w:pPr>
            <w:r w:rsidRPr="00D93C10">
              <w:rPr>
                <w:rFonts w:ascii="宋体" w:hAnsi="宋体" w:cs="宋体" w:hint="eastAsia"/>
                <w:kern w:val="0"/>
                <w:sz w:val="18"/>
                <w:szCs w:val="18"/>
              </w:rPr>
              <w:t>    六、财政部、项目主管部门及其相关工作人员在国家自然科学基金预算审核环节，项目主管部门及其相关工作人员在项目立项及其资金分配等环节，存在违反规定安排资金以及其他滥用职权、玩忽职守、徇私舞弊等违法违纪行为的，按照《中华人民共和国预算法》、《中华人民共和国公务员法》、《中华人民共和国行政监察法》、《财政违法行为处罚处分条例》等国家有关规定追究相应责任；涉嫌犯罪的，移送司法机关处理。</w:t>
            </w:r>
          </w:p>
        </w:tc>
      </w:tr>
    </w:tbl>
    <w:p w:rsidR="001524E3" w:rsidRPr="00D93C10" w:rsidRDefault="001524E3"/>
    <w:sectPr w:rsidR="001524E3" w:rsidRPr="00D93C10" w:rsidSect="00F67C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3C10"/>
    <w:rsid w:val="00141ECA"/>
    <w:rsid w:val="001524E3"/>
    <w:rsid w:val="002C4BD2"/>
    <w:rsid w:val="0037420D"/>
    <w:rsid w:val="00441696"/>
    <w:rsid w:val="0044545F"/>
    <w:rsid w:val="0047741B"/>
    <w:rsid w:val="00603DB2"/>
    <w:rsid w:val="007043CD"/>
    <w:rsid w:val="008C1DC9"/>
    <w:rsid w:val="00A83C75"/>
    <w:rsid w:val="00C702B4"/>
    <w:rsid w:val="00D93C10"/>
    <w:rsid w:val="00DD15B1"/>
    <w:rsid w:val="00E81353"/>
    <w:rsid w:val="00F67C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C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47434">
    <w:name w:val="timestyle47434"/>
    <w:basedOn w:val="a0"/>
    <w:rsid w:val="00D93C10"/>
  </w:style>
  <w:style w:type="character" w:customStyle="1" w:styleId="apple-converted-space">
    <w:name w:val="apple-converted-space"/>
    <w:basedOn w:val="a0"/>
    <w:rsid w:val="00D93C10"/>
  </w:style>
  <w:style w:type="character" w:customStyle="1" w:styleId="authorstyle47434">
    <w:name w:val="authorstyle47434"/>
    <w:basedOn w:val="a0"/>
    <w:rsid w:val="00D93C10"/>
  </w:style>
  <w:style w:type="paragraph" w:styleId="a3">
    <w:name w:val="Normal (Web)"/>
    <w:basedOn w:val="a"/>
    <w:uiPriority w:val="99"/>
    <w:unhideWhenUsed/>
    <w:rsid w:val="00D93C1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986054933">
      <w:bodyDiv w:val="1"/>
      <w:marLeft w:val="0"/>
      <w:marRight w:val="0"/>
      <w:marTop w:val="0"/>
      <w:marBottom w:val="0"/>
      <w:divBdr>
        <w:top w:val="none" w:sz="0" w:space="0" w:color="auto"/>
        <w:left w:val="none" w:sz="0" w:space="0" w:color="auto"/>
        <w:bottom w:val="none" w:sz="0" w:space="0" w:color="auto"/>
        <w:right w:val="none" w:sz="0" w:space="0" w:color="auto"/>
      </w:divBdr>
      <w:divsChild>
        <w:div w:id="862399773">
          <w:marLeft w:val="0"/>
          <w:marRight w:val="0"/>
          <w:marTop w:val="0"/>
          <w:marBottom w:val="0"/>
          <w:divBdr>
            <w:top w:val="none" w:sz="0" w:space="0" w:color="auto"/>
            <w:left w:val="none" w:sz="0" w:space="0" w:color="auto"/>
            <w:bottom w:val="none" w:sz="0" w:space="0" w:color="auto"/>
            <w:right w:val="none" w:sz="0" w:space="0" w:color="auto"/>
          </w:divBdr>
          <w:divsChild>
            <w:div w:id="6080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刘琛</dc:creator>
  <cp:lastModifiedBy>刘琛</cp:lastModifiedBy>
  <cp:revision>5</cp:revision>
  <dcterms:created xsi:type="dcterms:W3CDTF">2017-04-11T01:37:00Z</dcterms:created>
  <dcterms:modified xsi:type="dcterms:W3CDTF">2017-11-10T04:38:00Z</dcterms:modified>
</cp:coreProperties>
</file>